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31EBB30B" w14:textId="77777777" w:rsidR="002B0E5F" w:rsidRPr="00945D6D" w:rsidRDefault="002B0E5F" w:rsidP="002B0E5F">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945D6D">
        <w:rPr>
          <w:rFonts w:asciiTheme="minorHAnsi" w:eastAsia="Calibri" w:hAnsiTheme="minorHAnsi" w:cstheme="minorHAnsi"/>
          <w:b/>
          <w:bCs/>
          <w:color w:val="000000" w:themeColor="text1"/>
          <w:sz w:val="18"/>
          <w:szCs w:val="18"/>
        </w:rPr>
        <w:t>AREA “DATABASE”</w:t>
      </w:r>
    </w:p>
    <w:p w14:paraId="2C1E4E8F" w14:textId="77777777" w:rsidR="001E4B36" w:rsidRPr="00945D6D" w:rsidRDefault="001E4B36" w:rsidP="002B0E5F">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A408257" w14:textId="13046EE0" w:rsidR="002B0E5F" w:rsidRPr="00945D6D" w:rsidRDefault="002B0E5F" w:rsidP="002B0E5F">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945D6D">
        <w:rPr>
          <w:rFonts w:asciiTheme="minorHAnsi" w:eastAsia="Calibri" w:hAnsiTheme="minorHAnsi" w:cstheme="minorHAnsi"/>
          <w:b/>
          <w:bCs/>
          <w:color w:val="000000" w:themeColor="text1"/>
          <w:sz w:val="18"/>
          <w:szCs w:val="18"/>
        </w:rPr>
        <w:t>SUDDIVISA IN N. 7 LOTTI (UNITÀ FORMATIVE)</w:t>
      </w:r>
    </w:p>
    <w:p w14:paraId="6F52DE55" w14:textId="38A11532" w:rsidR="00945D6D" w:rsidRDefault="003226EF" w:rsidP="003226EF">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945D6D">
        <w:rPr>
          <w:rFonts w:asciiTheme="minorHAnsi" w:eastAsia="Calibri" w:hAnsiTheme="minorHAnsi" w:cstheme="minorHAnsi"/>
          <w:b/>
          <w:bCs/>
          <w:color w:val="000000" w:themeColor="text1"/>
          <w:sz w:val="18"/>
          <w:szCs w:val="18"/>
        </w:rPr>
        <w:t xml:space="preserve">(CIG A03FD2A1C8 - A0400BA263 - A0402D927C - A04039A1C1 </w:t>
      </w:r>
      <w:r w:rsidR="00945D6D">
        <w:rPr>
          <w:rFonts w:asciiTheme="minorHAnsi" w:eastAsia="Calibri" w:hAnsiTheme="minorHAnsi" w:cstheme="minorHAnsi"/>
          <w:b/>
          <w:bCs/>
          <w:color w:val="000000" w:themeColor="text1"/>
          <w:sz w:val="18"/>
          <w:szCs w:val="18"/>
        </w:rPr>
        <w:t>-</w:t>
      </w:r>
    </w:p>
    <w:p w14:paraId="1915E772" w14:textId="7A24C2D2" w:rsidR="003226EF" w:rsidRDefault="003226EF" w:rsidP="003226EF">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945D6D">
        <w:rPr>
          <w:rFonts w:asciiTheme="minorHAnsi" w:eastAsia="Calibri" w:hAnsiTheme="minorHAnsi" w:cstheme="minorHAnsi"/>
          <w:b/>
          <w:bCs/>
          <w:color w:val="000000" w:themeColor="text1"/>
          <w:sz w:val="18"/>
          <w:szCs w:val="18"/>
        </w:rPr>
        <w:t xml:space="preserve"> A0405BB380 - A0406A656D - A0406E37C3)</w:t>
      </w:r>
    </w:p>
    <w:p w14:paraId="6016ED23" w14:textId="410296D6" w:rsidR="641D269E" w:rsidRPr="00EC244C" w:rsidRDefault="641D269E" w:rsidP="00365FC7">
      <w:pPr>
        <w:rPr>
          <w:rFonts w:eastAsia="Calibri" w:cstheme="minorHAnsi"/>
          <w:color w:val="000000" w:themeColor="text1"/>
          <w:sz w:val="18"/>
          <w:szCs w:val="18"/>
        </w:rPr>
      </w:pPr>
    </w:p>
    <w:p w14:paraId="34902A3D" w14:textId="4204599E" w:rsidR="641D269E" w:rsidRPr="004207C8" w:rsidRDefault="641D269E"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953967">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953967">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B74B3A">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lastRenderedPageBreak/>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4F3BB5">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7B7D7" w14:textId="77777777" w:rsidR="004F3BB5" w:rsidRDefault="004F3BB5" w:rsidP="000151A3">
      <w:r>
        <w:separator/>
      </w:r>
    </w:p>
  </w:endnote>
  <w:endnote w:type="continuationSeparator" w:id="0">
    <w:p w14:paraId="7884914F" w14:textId="77777777" w:rsidR="004F3BB5" w:rsidRDefault="004F3BB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F40B2" w14:textId="77777777" w:rsidR="004F3BB5" w:rsidRDefault="004F3BB5" w:rsidP="000151A3">
      <w:r>
        <w:separator/>
      </w:r>
    </w:p>
  </w:footnote>
  <w:footnote w:type="continuationSeparator" w:id="0">
    <w:p w14:paraId="6DF35AF1" w14:textId="77777777" w:rsidR="004F3BB5" w:rsidRDefault="004F3BB5"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74BB0"/>
    <w:rsid w:val="00083366"/>
    <w:rsid w:val="00091E51"/>
    <w:rsid w:val="000D1964"/>
    <w:rsid w:val="000D5E58"/>
    <w:rsid w:val="000D5F3A"/>
    <w:rsid w:val="00103A67"/>
    <w:rsid w:val="00103B32"/>
    <w:rsid w:val="00112738"/>
    <w:rsid w:val="00117A19"/>
    <w:rsid w:val="00135175"/>
    <w:rsid w:val="00137B15"/>
    <w:rsid w:val="00155DE8"/>
    <w:rsid w:val="00167E3E"/>
    <w:rsid w:val="001A0B57"/>
    <w:rsid w:val="001C44E5"/>
    <w:rsid w:val="001E4B36"/>
    <w:rsid w:val="001E724E"/>
    <w:rsid w:val="00207AF6"/>
    <w:rsid w:val="0025490A"/>
    <w:rsid w:val="00275963"/>
    <w:rsid w:val="0028779B"/>
    <w:rsid w:val="002B0E5F"/>
    <w:rsid w:val="002D18E1"/>
    <w:rsid w:val="002E2509"/>
    <w:rsid w:val="00300273"/>
    <w:rsid w:val="00305769"/>
    <w:rsid w:val="00307390"/>
    <w:rsid w:val="003112CF"/>
    <w:rsid w:val="003226EF"/>
    <w:rsid w:val="00365FC7"/>
    <w:rsid w:val="003B522E"/>
    <w:rsid w:val="003C0C02"/>
    <w:rsid w:val="003C0DF2"/>
    <w:rsid w:val="003D3387"/>
    <w:rsid w:val="003D4659"/>
    <w:rsid w:val="003F1624"/>
    <w:rsid w:val="00402E8C"/>
    <w:rsid w:val="004107AC"/>
    <w:rsid w:val="004151A9"/>
    <w:rsid w:val="004207C8"/>
    <w:rsid w:val="00451392"/>
    <w:rsid w:val="00476CD9"/>
    <w:rsid w:val="004A1C47"/>
    <w:rsid w:val="004F3BB5"/>
    <w:rsid w:val="00506A85"/>
    <w:rsid w:val="00543A8C"/>
    <w:rsid w:val="005563A1"/>
    <w:rsid w:val="00557670"/>
    <w:rsid w:val="00560A7C"/>
    <w:rsid w:val="00591D7D"/>
    <w:rsid w:val="005B58D1"/>
    <w:rsid w:val="005D3F7B"/>
    <w:rsid w:val="00603A16"/>
    <w:rsid w:val="006A59B5"/>
    <w:rsid w:val="006B7DDA"/>
    <w:rsid w:val="006C393B"/>
    <w:rsid w:val="00700B38"/>
    <w:rsid w:val="007046F4"/>
    <w:rsid w:val="00713F70"/>
    <w:rsid w:val="00737017"/>
    <w:rsid w:val="007413D2"/>
    <w:rsid w:val="0076348B"/>
    <w:rsid w:val="0077493B"/>
    <w:rsid w:val="007925D4"/>
    <w:rsid w:val="00796091"/>
    <w:rsid w:val="007A3BB3"/>
    <w:rsid w:val="00807B59"/>
    <w:rsid w:val="00823A8A"/>
    <w:rsid w:val="00825EB3"/>
    <w:rsid w:val="008371B1"/>
    <w:rsid w:val="00871076"/>
    <w:rsid w:val="00873297"/>
    <w:rsid w:val="00877489"/>
    <w:rsid w:val="00891B2C"/>
    <w:rsid w:val="00892400"/>
    <w:rsid w:val="008D2B18"/>
    <w:rsid w:val="008F5E17"/>
    <w:rsid w:val="00901BEE"/>
    <w:rsid w:val="00901C4C"/>
    <w:rsid w:val="00903564"/>
    <w:rsid w:val="00921B65"/>
    <w:rsid w:val="00924A20"/>
    <w:rsid w:val="009379E2"/>
    <w:rsid w:val="00945D6D"/>
    <w:rsid w:val="0094679F"/>
    <w:rsid w:val="00953967"/>
    <w:rsid w:val="0096443F"/>
    <w:rsid w:val="00971EDC"/>
    <w:rsid w:val="0098018E"/>
    <w:rsid w:val="00997E8B"/>
    <w:rsid w:val="009B65FD"/>
    <w:rsid w:val="009D3EED"/>
    <w:rsid w:val="009D58F2"/>
    <w:rsid w:val="009F2615"/>
    <w:rsid w:val="009F561B"/>
    <w:rsid w:val="00A031BF"/>
    <w:rsid w:val="00A1149E"/>
    <w:rsid w:val="00A54388"/>
    <w:rsid w:val="00A63A0B"/>
    <w:rsid w:val="00AA1B90"/>
    <w:rsid w:val="00AA6F58"/>
    <w:rsid w:val="00AB2A7E"/>
    <w:rsid w:val="00AC36DC"/>
    <w:rsid w:val="00AC554D"/>
    <w:rsid w:val="00AD16AD"/>
    <w:rsid w:val="00B5596C"/>
    <w:rsid w:val="00B74B3A"/>
    <w:rsid w:val="00B7794D"/>
    <w:rsid w:val="00C07F70"/>
    <w:rsid w:val="00C1633C"/>
    <w:rsid w:val="00C40574"/>
    <w:rsid w:val="00C52BA5"/>
    <w:rsid w:val="00C7573C"/>
    <w:rsid w:val="00C8303D"/>
    <w:rsid w:val="00C90E73"/>
    <w:rsid w:val="00CB5926"/>
    <w:rsid w:val="00CD2870"/>
    <w:rsid w:val="00CF7B72"/>
    <w:rsid w:val="00D16736"/>
    <w:rsid w:val="00D2759F"/>
    <w:rsid w:val="00DA250C"/>
    <w:rsid w:val="00DD26D5"/>
    <w:rsid w:val="00E207EE"/>
    <w:rsid w:val="00E37DF3"/>
    <w:rsid w:val="00E44016"/>
    <w:rsid w:val="00E663BF"/>
    <w:rsid w:val="00E95F8C"/>
    <w:rsid w:val="00EC244C"/>
    <w:rsid w:val="00EC388D"/>
    <w:rsid w:val="00ED3F7D"/>
    <w:rsid w:val="00EF2674"/>
    <w:rsid w:val="00F1568D"/>
    <w:rsid w:val="00F214FB"/>
    <w:rsid w:val="00F24656"/>
    <w:rsid w:val="00F4226E"/>
    <w:rsid w:val="00F568CC"/>
    <w:rsid w:val="00F6324D"/>
    <w:rsid w:val="00F74A9F"/>
    <w:rsid w:val="00F87F08"/>
    <w:rsid w:val="00F91D2E"/>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98DFC76B-7F50-4AE9-97FC-7498D3017E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2</Pages>
  <Words>1134</Words>
  <Characters>6465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66</cp:revision>
  <dcterms:created xsi:type="dcterms:W3CDTF">2023-11-09T14:29:00Z</dcterms:created>
  <dcterms:modified xsi:type="dcterms:W3CDTF">2023-12-24T17:15:00Z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