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1245BC" w14:textId="77777777" w:rsidR="00B91D8E" w:rsidRPr="000D4DDC" w:rsidRDefault="00B91D8E" w:rsidP="00B91D8E">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WEB DESIGN</w:t>
      </w:r>
      <w:r w:rsidRPr="00C73C76">
        <w:rPr>
          <w:rFonts w:asciiTheme="minorHAnsi" w:eastAsia="Calibri" w:hAnsiTheme="minorHAnsi" w:cstheme="minorHAnsi"/>
          <w:b/>
          <w:bCs/>
          <w:color w:val="000000" w:themeColor="text1"/>
          <w:sz w:val="18"/>
          <w:szCs w:val="18"/>
        </w:rPr>
        <w:t>”</w:t>
      </w:r>
    </w:p>
    <w:p w14:paraId="7455472C" w14:textId="77777777" w:rsidR="00E905C0" w:rsidRDefault="00E905C0" w:rsidP="00B91D8E">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6D09F770" w14:textId="731B2B33" w:rsidR="00B91D8E" w:rsidRPr="000D4DDC" w:rsidRDefault="00B91D8E" w:rsidP="00B91D8E">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5 </w:t>
      </w:r>
      <w:r w:rsidRPr="000D4DDC">
        <w:rPr>
          <w:rFonts w:asciiTheme="minorHAnsi" w:eastAsia="Calibri" w:hAnsiTheme="minorHAnsi" w:cstheme="minorHAnsi"/>
          <w:b/>
          <w:bCs/>
          <w:color w:val="000000" w:themeColor="text1"/>
          <w:sz w:val="18"/>
          <w:szCs w:val="18"/>
        </w:rPr>
        <w:t>LOTTI (UNITÀ FORMATIVE)</w:t>
      </w:r>
    </w:p>
    <w:p w14:paraId="32668218" w14:textId="77777777" w:rsidR="00B91D8E" w:rsidRDefault="00B91D8E" w:rsidP="00B91D8E">
      <w:pPr>
        <w:spacing w:before="1"/>
        <w:ind w:left="567"/>
        <w:jc w:val="center"/>
        <w:rPr>
          <w:rFonts w:cstheme="minorHAnsi"/>
          <w:b/>
          <w:bCs/>
          <w:color w:val="000000" w:themeColor="text1"/>
          <w:sz w:val="18"/>
          <w:szCs w:val="18"/>
        </w:rPr>
      </w:pPr>
      <w:r w:rsidRPr="000D4DDC">
        <w:rPr>
          <w:rFonts w:cstheme="minorHAnsi"/>
          <w:b/>
          <w:bCs/>
          <w:color w:val="000000" w:themeColor="text1"/>
          <w:sz w:val="18"/>
          <w:szCs w:val="18"/>
        </w:rPr>
        <w:t xml:space="preserve">(CIG </w:t>
      </w:r>
      <w:r w:rsidRPr="00CE23A7">
        <w:rPr>
          <w:rFonts w:cstheme="minorHAnsi"/>
          <w:b/>
          <w:bCs/>
          <w:color w:val="000000" w:themeColor="text1"/>
          <w:sz w:val="18"/>
          <w:szCs w:val="18"/>
        </w:rPr>
        <w:t>A04062E267</w:t>
      </w:r>
      <w:r>
        <w:rPr>
          <w:rFonts w:cstheme="minorHAnsi"/>
          <w:b/>
          <w:bCs/>
          <w:color w:val="000000" w:themeColor="text1"/>
          <w:sz w:val="18"/>
          <w:szCs w:val="18"/>
        </w:rPr>
        <w:t xml:space="preserve"> - </w:t>
      </w:r>
      <w:r w:rsidRPr="00CE23A7">
        <w:rPr>
          <w:rFonts w:cstheme="minorHAnsi"/>
          <w:b/>
          <w:bCs/>
          <w:color w:val="000000" w:themeColor="text1"/>
          <w:sz w:val="18"/>
          <w:szCs w:val="18"/>
        </w:rPr>
        <w:t>A04065EA01</w:t>
      </w:r>
      <w:r>
        <w:rPr>
          <w:rFonts w:cstheme="minorHAnsi"/>
          <w:b/>
          <w:bCs/>
          <w:color w:val="000000" w:themeColor="text1"/>
          <w:sz w:val="18"/>
          <w:szCs w:val="18"/>
        </w:rPr>
        <w:t xml:space="preserve"> - </w:t>
      </w:r>
      <w:r w:rsidRPr="00CE23A7">
        <w:rPr>
          <w:rFonts w:cstheme="minorHAnsi"/>
          <w:b/>
          <w:bCs/>
          <w:color w:val="000000" w:themeColor="text1"/>
          <w:sz w:val="18"/>
          <w:szCs w:val="18"/>
        </w:rPr>
        <w:t>A0406B40FC</w:t>
      </w:r>
      <w:r>
        <w:rPr>
          <w:rFonts w:cstheme="minorHAnsi"/>
          <w:b/>
          <w:bCs/>
          <w:color w:val="000000" w:themeColor="text1"/>
          <w:sz w:val="18"/>
          <w:szCs w:val="18"/>
        </w:rPr>
        <w:t xml:space="preserve"> - </w:t>
      </w:r>
      <w:r w:rsidRPr="00CE23A7">
        <w:rPr>
          <w:rFonts w:cstheme="minorHAnsi"/>
          <w:b/>
          <w:bCs/>
          <w:color w:val="000000" w:themeColor="text1"/>
          <w:sz w:val="18"/>
          <w:szCs w:val="18"/>
        </w:rPr>
        <w:t>A0406DC1FE</w:t>
      </w:r>
      <w:r>
        <w:rPr>
          <w:rFonts w:cstheme="minorHAnsi"/>
          <w:b/>
          <w:bCs/>
          <w:color w:val="000000" w:themeColor="text1"/>
          <w:sz w:val="18"/>
          <w:szCs w:val="18"/>
        </w:rPr>
        <w:t xml:space="preserve"> - </w:t>
      </w:r>
      <w:r w:rsidRPr="00CE23A7">
        <w:rPr>
          <w:rFonts w:cstheme="minorHAnsi"/>
          <w:b/>
          <w:bCs/>
          <w:color w:val="000000" w:themeColor="text1"/>
          <w:sz w:val="18"/>
          <w:szCs w:val="18"/>
        </w:rPr>
        <w:t>A040700FAF</w:t>
      </w:r>
      <w:r>
        <w:rPr>
          <w:rFonts w:cstheme="minorHAnsi"/>
          <w:b/>
          <w:bCs/>
          <w:color w:val="000000" w:themeColor="text1"/>
          <w:sz w:val="18"/>
          <w:szCs w:val="18"/>
        </w:rPr>
        <w:t>)</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CF0FAB">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CF0FAB">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CF0FAB">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6651B2">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D40E0" w14:textId="77777777" w:rsidR="006651B2" w:rsidRDefault="006651B2" w:rsidP="000151A3">
      <w:r>
        <w:separator/>
      </w:r>
    </w:p>
  </w:endnote>
  <w:endnote w:type="continuationSeparator" w:id="0">
    <w:p w14:paraId="56FF9436" w14:textId="77777777" w:rsidR="006651B2" w:rsidRDefault="006651B2"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58321" w14:textId="77777777" w:rsidR="006651B2" w:rsidRDefault="006651B2" w:rsidP="000151A3">
      <w:r>
        <w:separator/>
      </w:r>
    </w:p>
  </w:footnote>
  <w:footnote w:type="continuationSeparator" w:id="0">
    <w:p w14:paraId="344AF7BB" w14:textId="77777777" w:rsidR="006651B2" w:rsidRDefault="006651B2"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74BB0"/>
    <w:rsid w:val="00083366"/>
    <w:rsid w:val="00091E51"/>
    <w:rsid w:val="000D1964"/>
    <w:rsid w:val="000D5E58"/>
    <w:rsid w:val="000D5F3A"/>
    <w:rsid w:val="00103A67"/>
    <w:rsid w:val="00103B32"/>
    <w:rsid w:val="00112738"/>
    <w:rsid w:val="00117A19"/>
    <w:rsid w:val="00135175"/>
    <w:rsid w:val="00137B15"/>
    <w:rsid w:val="00155DE8"/>
    <w:rsid w:val="00167E3E"/>
    <w:rsid w:val="001A0B57"/>
    <w:rsid w:val="001C44E5"/>
    <w:rsid w:val="001E724E"/>
    <w:rsid w:val="00207AF6"/>
    <w:rsid w:val="0025490A"/>
    <w:rsid w:val="00275963"/>
    <w:rsid w:val="0028779B"/>
    <w:rsid w:val="002B0E5F"/>
    <w:rsid w:val="002D18E1"/>
    <w:rsid w:val="002E2509"/>
    <w:rsid w:val="00300273"/>
    <w:rsid w:val="00305769"/>
    <w:rsid w:val="00307390"/>
    <w:rsid w:val="003112CF"/>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506A85"/>
    <w:rsid w:val="00543A8C"/>
    <w:rsid w:val="005563A1"/>
    <w:rsid w:val="00557670"/>
    <w:rsid w:val="00560A7C"/>
    <w:rsid w:val="00591D7D"/>
    <w:rsid w:val="005B58D1"/>
    <w:rsid w:val="005D3F7B"/>
    <w:rsid w:val="00603A16"/>
    <w:rsid w:val="006651B2"/>
    <w:rsid w:val="006A59B5"/>
    <w:rsid w:val="006B7DDA"/>
    <w:rsid w:val="006C393B"/>
    <w:rsid w:val="00700B38"/>
    <w:rsid w:val="007046F4"/>
    <w:rsid w:val="00713F70"/>
    <w:rsid w:val="00737017"/>
    <w:rsid w:val="007413D2"/>
    <w:rsid w:val="0076348B"/>
    <w:rsid w:val="0077493B"/>
    <w:rsid w:val="007925D4"/>
    <w:rsid w:val="00796091"/>
    <w:rsid w:val="007A3BB3"/>
    <w:rsid w:val="00807B59"/>
    <w:rsid w:val="00823A8A"/>
    <w:rsid w:val="00825EB3"/>
    <w:rsid w:val="008371B1"/>
    <w:rsid w:val="00871076"/>
    <w:rsid w:val="00873297"/>
    <w:rsid w:val="00877489"/>
    <w:rsid w:val="00891B2C"/>
    <w:rsid w:val="008D2B18"/>
    <w:rsid w:val="008F5E17"/>
    <w:rsid w:val="00901BEE"/>
    <w:rsid w:val="00901C4C"/>
    <w:rsid w:val="00903564"/>
    <w:rsid w:val="00921B65"/>
    <w:rsid w:val="0092354B"/>
    <w:rsid w:val="00924A20"/>
    <w:rsid w:val="009379E2"/>
    <w:rsid w:val="0094679F"/>
    <w:rsid w:val="0096443F"/>
    <w:rsid w:val="00971EDC"/>
    <w:rsid w:val="0098018E"/>
    <w:rsid w:val="00997E8B"/>
    <w:rsid w:val="009B65FD"/>
    <w:rsid w:val="009D3EED"/>
    <w:rsid w:val="009D58F2"/>
    <w:rsid w:val="009F2615"/>
    <w:rsid w:val="009F561B"/>
    <w:rsid w:val="00A031BF"/>
    <w:rsid w:val="00A1149E"/>
    <w:rsid w:val="00A54388"/>
    <w:rsid w:val="00A63A0B"/>
    <w:rsid w:val="00AA1B90"/>
    <w:rsid w:val="00AA6F58"/>
    <w:rsid w:val="00AB2A7E"/>
    <w:rsid w:val="00AC36DC"/>
    <w:rsid w:val="00AC554D"/>
    <w:rsid w:val="00AD16AD"/>
    <w:rsid w:val="00B5596C"/>
    <w:rsid w:val="00B7794D"/>
    <w:rsid w:val="00B91D8E"/>
    <w:rsid w:val="00C07F70"/>
    <w:rsid w:val="00C1633C"/>
    <w:rsid w:val="00C40574"/>
    <w:rsid w:val="00C52BA5"/>
    <w:rsid w:val="00C7573C"/>
    <w:rsid w:val="00C8303D"/>
    <w:rsid w:val="00C90E73"/>
    <w:rsid w:val="00CB5926"/>
    <w:rsid w:val="00CD2870"/>
    <w:rsid w:val="00CF0FAB"/>
    <w:rsid w:val="00CF7B72"/>
    <w:rsid w:val="00D16736"/>
    <w:rsid w:val="00D2759F"/>
    <w:rsid w:val="00DA250C"/>
    <w:rsid w:val="00DA359E"/>
    <w:rsid w:val="00DD26D5"/>
    <w:rsid w:val="00E207EE"/>
    <w:rsid w:val="00E37DF3"/>
    <w:rsid w:val="00E44016"/>
    <w:rsid w:val="00E663BF"/>
    <w:rsid w:val="00E905C0"/>
    <w:rsid w:val="00EC244C"/>
    <w:rsid w:val="00EC388D"/>
    <w:rsid w:val="00ED3F7D"/>
    <w:rsid w:val="00EF2674"/>
    <w:rsid w:val="00F1568D"/>
    <w:rsid w:val="00F214FB"/>
    <w:rsid w:val="00F24656"/>
    <w:rsid w:val="00F4226E"/>
    <w:rsid w:val="00F568CC"/>
    <w:rsid w:val="00F6324D"/>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2</Pages>
  <Words>1130</Words>
  <Characters>6444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65</cp:revision>
  <dcterms:created xsi:type="dcterms:W3CDTF">2023-11-09T14:29:00Z</dcterms:created>
  <dcterms:modified xsi:type="dcterms:W3CDTF">2023-12-24T17:39:00Z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