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7BF702C" w14:textId="77777777" w:rsidR="004A538B" w:rsidRPr="00622F96" w:rsidRDefault="004A538B" w:rsidP="004A538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AREA “BUSINESS APPLICATION”</w:t>
      </w:r>
    </w:p>
    <w:p w14:paraId="063F384E" w14:textId="77777777" w:rsidR="004A538B" w:rsidRPr="00622F96" w:rsidRDefault="004A538B" w:rsidP="004A538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25FC69A" w14:textId="77777777" w:rsidR="004A538B" w:rsidRPr="00622F96" w:rsidRDefault="004A538B" w:rsidP="004A538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5 LOTTI (UNITÀ FORMATIVE)</w:t>
      </w:r>
    </w:p>
    <w:p w14:paraId="6F52D99C" w14:textId="77777777" w:rsidR="004A538B" w:rsidRPr="00622F96" w:rsidRDefault="004A538B" w:rsidP="004A538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22F96">
        <w:rPr>
          <w:rFonts w:eastAsia="Calibri" w:cstheme="minorHAnsi"/>
          <w:b/>
          <w:bCs/>
          <w:color w:val="000000" w:themeColor="text1"/>
          <w:sz w:val="18"/>
          <w:szCs w:val="18"/>
        </w:rPr>
        <w:t>(CIG A041D3C8E1 - A041D55D81 - A041D649E3 - A041D6F2F9 - A041D7DE83)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E933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A813" w14:textId="77777777" w:rsidR="00E933C4" w:rsidRDefault="00E933C4" w:rsidP="000151A3">
      <w:r>
        <w:separator/>
      </w:r>
    </w:p>
  </w:endnote>
  <w:endnote w:type="continuationSeparator" w:id="0">
    <w:p w14:paraId="76E93E00" w14:textId="77777777" w:rsidR="00E933C4" w:rsidRDefault="00E933C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68A2" w14:textId="77777777" w:rsidR="00E933C4" w:rsidRDefault="00E933C4" w:rsidP="000151A3">
      <w:r>
        <w:separator/>
      </w:r>
    </w:p>
  </w:footnote>
  <w:footnote w:type="continuationSeparator" w:id="0">
    <w:p w14:paraId="7FBE7773" w14:textId="77777777" w:rsidR="00E933C4" w:rsidRDefault="00E933C4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A538B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933C4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